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6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6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lang w:val="ru-RU"/>
        </w:rPr>
      </w:pPr>
      <w:r>
        <w:rPr>
          <w:sz w:val="24"/>
          <w:szCs w:val="24"/>
          <w:lang w:val="ru-RU"/>
        </w:rPr>
        <w:t>Приложение</w:t>
      </w:r>
      <w:r>
        <w:rPr>
          <w:sz w:val="18"/>
          <w:lang w:val="ru-RU"/>
        </w:rPr>
        <w:tab/>
      </w:r>
    </w:p>
    <w:p>
      <w:pPr>
        <w:pStyle w:val="Default"/>
        <w:rPr/>
      </w:pPr>
      <w:r>
        <w:rPr/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Онлайн-мероприятия по всем проектам, реализуемым ЦК «Онлайн-просвещение», будут проводиться на платформе видеоконференций МТС Линк (ранее – Webinar Group).</w:t>
      </w:r>
    </w:p>
    <w:p>
      <w:pPr>
        <w:pStyle w:val="Default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24 января стартуют «Онлайн-уроки финансовой грамотности для школьников (dni-fg.ru)». Занятия продлятся до 19 апреля.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в расписание осенней сессии включены 24 актуальные темы: 21 по финансовой грамотности и 3 урока из цикла «Моя профессия».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Уроки по финансовой грамотности посвящены грамотному распоряжению личными финансами, выбору и рациональному использованию финансовых инструментов, страхованию, налогам и будущей пенсии. Слушатели познакомятся с историей денег, с основами денежного обращения, узнают, как распознать кибермошенников и защитить свои права потребителя финансовых услуг.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уроках из цикла «Моя профессия» слушателям расскажут о профессиях финансиста, бизнес-аналитика и педагога.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онлайн-уроков уроков, спецификации по каждой теме, информация об экспертах, инструкции для подключения и иные материалы размещены на сайте: https://dni-fg.ru.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материал, изученный на онлайн-уроках, поможет проект Банка России «Игры по финансовой грамотности (dol-igra.ru)». На сайте https://doligra.ru педагоги могут скачать готовые комплекты игр, которые остается только распечатать и начать играть. Игры помогут разнообразить учебный процесс или организовать досуг детей в увлекательной и полезной форме.</w:t>
      </w:r>
    </w:p>
    <w:p>
      <w:pPr>
        <w:pStyle w:val="Default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«Онлайн-занятия по финансовой грамотности для старшего поколения (pensionfg.ru)» пройдут с 31 января по 19 апреля.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по шести темам. Слушатели узнают, как безопасно и эффективно пользоваться банковскими услугами, выбирать финансовые инструменты, использовать современные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онлайн-занятий, спецификации по каждой теме, инструкции для подключения участников, иная информация размещены на сайте: https://pensionfg.ru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Вебинары «Грамотный инвестор» для студентов и взрослого населения стартуют 7 февраля и продлятся до 19 апреля.</w:t>
      </w:r>
      <w:r>
        <w:rPr>
          <w:sz w:val="28"/>
          <w:szCs w:val="28"/>
        </w:rPr>
        <w:t xml:space="preserve"> Занятия проводятся по трем темам, на которых слушатели изучат основы и принципы инвестирования, научатся выбирать финансовые инструменты и формировать портфель с учетом своих финансовых целей и склонности к риску.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Вебинары «Грамотный инвестор» мотивируют к осознанному выбору вложения в инвестиционные продукты для приумножения капитала, учитывая особенности фондового рынка и потенциальные риски.</w:t>
      </w:r>
    </w:p>
    <w:p>
      <w:pPr>
        <w:pStyle w:val="Default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вебинаров, спецификации, инструкции для подключения участников, иная информация размещены на сайте https://dni-fg.ru/investor</w:t>
      </w:r>
    </w:p>
    <w:p>
      <w:pPr>
        <w:pStyle w:val="Normal"/>
        <w:spacing w:lineRule="auto" w:line="360"/>
        <w:ind w:firstLine="720"/>
        <w:jc w:val="both"/>
        <w:rPr>
          <w:rFonts w:eastAsia="Calibri"/>
          <w:spacing w:val="-6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</w:t>
      </w:r>
      <w:r>
        <w:rPr>
          <w:rFonts w:eastAsia="Calibri"/>
          <w:spacing w:val="-6"/>
          <w:sz w:val="28"/>
          <w:szCs w:val="28"/>
          <w:lang w:val="ru-RU"/>
        </w:rPr>
        <w:t>росим оказать содействие  в части обеспечения максимального участия в весенней сессии онлайн проектов Банка России обучающихся региональных  образовательных организаций, граждан пенсионного и предпенсионного возраста, взрослого населения, трудовых коллективов, клиентов Центров социального обслуживания (помощи) населения</w:t>
      </w:r>
      <w:r>
        <w:rPr>
          <w:sz w:val="28"/>
          <w:szCs w:val="28"/>
          <w:lang w:val="ru-RU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134" w:footer="72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1004738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2">
    <w:name w:val="Heading 2"/>
    <w:basedOn w:val="Normal"/>
    <w:next w:val="Normal"/>
    <w:qFormat/>
    <w:pPr>
      <w:keepNext w:val="true"/>
      <w:spacing w:before="24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20"/>
        <w:tab w:val="left" w:pos="1134" w:leader="none"/>
      </w:tabs>
      <w:jc w:val="center"/>
      <w:outlineLvl w:val="2"/>
    </w:pPr>
    <w:rPr>
      <w:sz w:val="24"/>
      <w:lang w:val="ru-RU"/>
    </w:rPr>
  </w:style>
  <w:style w:type="paragraph" w:styleId="4">
    <w:name w:val="Heading 4"/>
    <w:basedOn w:val="Normal"/>
    <w:next w:val="Normal"/>
    <w:qFormat/>
    <w:pPr>
      <w:keepNext w:val="true"/>
      <w:tabs>
        <w:tab w:val="clear" w:pos="720"/>
        <w:tab w:val="left" w:pos="1134" w:leader="none"/>
      </w:tabs>
      <w:ind w:left="175" w:hanging="0"/>
      <w:jc w:val="both"/>
      <w:outlineLvl w:val="3"/>
    </w:pPr>
    <w:rPr>
      <w:sz w:val="24"/>
    </w:rPr>
  </w:style>
  <w:style w:type="paragraph" w:styleId="5">
    <w:name w:val="Heading 5"/>
    <w:basedOn w:val="Normal"/>
    <w:next w:val="Normal"/>
    <w:qFormat/>
    <w:pPr>
      <w:keepNext w:val="true"/>
      <w:tabs>
        <w:tab w:val="clear" w:pos="720"/>
        <w:tab w:val="left" w:pos="1134" w:leader="none"/>
      </w:tabs>
      <w:ind w:left="175" w:hanging="0"/>
      <w:outlineLvl w:val="4"/>
    </w:pPr>
    <w:rPr>
      <w:sz w:val="24"/>
      <w:lang w:val="ru-RU"/>
    </w:rPr>
  </w:style>
  <w:style w:type="paragraph" w:styleId="6">
    <w:name w:val="Heading 6"/>
    <w:basedOn w:val="Normal"/>
    <w:next w:val="Normal"/>
    <w:qFormat/>
    <w:pPr>
      <w:keepNext w:val="true"/>
      <w:tabs>
        <w:tab w:val="clear" w:pos="720"/>
        <w:tab w:val="left" w:pos="1134" w:leader="none"/>
      </w:tabs>
      <w:ind w:left="175" w:firstLine="709"/>
      <w:outlineLvl w:val="5"/>
    </w:pPr>
    <w:rPr>
      <w:sz w:val="24"/>
      <w:lang w:val="ru-RU"/>
    </w:rPr>
  </w:style>
  <w:style w:type="paragraph" w:styleId="7">
    <w:name w:val="Heading 7"/>
    <w:basedOn w:val="Normal"/>
    <w:next w:val="Normal"/>
    <w:qFormat/>
    <w:pPr>
      <w:keepNext w:val="true"/>
      <w:tabs>
        <w:tab w:val="clear" w:pos="720"/>
        <w:tab w:val="left" w:pos="1134" w:leader="none"/>
      </w:tabs>
      <w:ind w:left="175" w:firstLine="568"/>
      <w:outlineLvl w:val="6"/>
    </w:pPr>
    <w:rPr>
      <w:sz w:val="24"/>
      <w:lang w:val="ru-RU"/>
    </w:rPr>
  </w:style>
  <w:style w:type="paragraph" w:styleId="8">
    <w:name w:val="Heading 8"/>
    <w:basedOn w:val="Normal"/>
    <w:next w:val="Normal"/>
    <w:qFormat/>
    <w:pPr>
      <w:keepNext w:val="true"/>
      <w:ind w:right="-2" w:hanging="0"/>
      <w:jc w:val="both"/>
      <w:outlineLvl w:val="7"/>
    </w:pPr>
    <w:rPr>
      <w:sz w:val="24"/>
    </w:rPr>
  </w:style>
  <w:style w:type="paragraph" w:styleId="9">
    <w:name w:val="Heading 9"/>
    <w:basedOn w:val="Normal"/>
    <w:next w:val="Normal"/>
    <w:qFormat/>
    <w:pPr>
      <w:keepNext w:val="true"/>
      <w:tabs>
        <w:tab w:val="clear" w:pos="720"/>
        <w:tab w:val="left" w:pos="1134" w:leader="none"/>
      </w:tabs>
      <w:ind w:left="34" w:hanging="0"/>
      <w:outlineLvl w:val="8"/>
    </w:pPr>
    <w:rPr>
      <w:sz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Www" w:customStyle="1">
    <w:name w:val="www"/>
    <w:qFormat/>
    <w:rPr>
      <w:rFonts w:ascii="Courier New" w:hAnsi="Courier New"/>
      <w:b/>
      <w:i/>
      <w:sz w:val="24"/>
    </w:rPr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Посещённая гиперссылка"/>
    <w:rPr>
      <w:color w:val="800080"/>
      <w:u w:val="single"/>
    </w:rPr>
  </w:style>
  <w:style w:type="character" w:styleId="Strong">
    <w:name w:val="Strong"/>
    <w:qFormat/>
    <w:rsid w:val="006b7fcc"/>
    <w:rPr>
      <w:b/>
      <w:bCs/>
    </w:rPr>
  </w:style>
  <w:style w:type="character" w:styleId="Annotationreference">
    <w:name w:val="annotation reference"/>
    <w:basedOn w:val="DefaultParagraphFont"/>
    <w:qFormat/>
    <w:rsid w:val="002863ab"/>
    <w:rPr>
      <w:sz w:val="16"/>
      <w:szCs w:val="16"/>
    </w:rPr>
  </w:style>
  <w:style w:type="character" w:styleId="Style7" w:customStyle="1">
    <w:name w:val="Текст примечания Знак"/>
    <w:basedOn w:val="DefaultParagraphFont"/>
    <w:link w:val="af3"/>
    <w:qFormat/>
    <w:rsid w:val="002863ab"/>
    <w:rPr>
      <w:lang w:val="en-US" w:eastAsia="en-US"/>
    </w:rPr>
  </w:style>
  <w:style w:type="character" w:styleId="Style8" w:customStyle="1">
    <w:name w:val="Тема примечания Знак"/>
    <w:basedOn w:val="Style7"/>
    <w:link w:val="af5"/>
    <w:qFormat/>
    <w:rsid w:val="002863ab"/>
    <w:rPr>
      <w:b/>
      <w:bCs/>
      <w:lang w:val="en-US" w:eastAsia="en-US"/>
    </w:rPr>
  </w:style>
  <w:style w:type="character" w:styleId="Style9" w:customStyle="1">
    <w:name w:val="Верхний колонтитул Знак"/>
    <w:link w:val="a3"/>
    <w:uiPriority w:val="99"/>
    <w:qFormat/>
    <w:rsid w:val="00d7392e"/>
    <w:rPr>
      <w:lang w:val="en-US" w:eastAsia="en-US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a65267"/>
    <w:rPr>
      <w:sz w:val="24"/>
      <w:lang w:eastAsia="en-US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577aee"/>
    <w:rPr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360"/>
    </w:pPr>
    <w:rPr>
      <w:sz w:val="24"/>
      <w:lang w:val="ru-RU"/>
    </w:rPr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a4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yle18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22" w:customStyle="1">
    <w:name w:val="2КологочныйЗаголовок"/>
    <w:basedOn w:val="Normal"/>
    <w:qFormat/>
    <w:pPr>
      <w:keepNext w:val="true"/>
      <w:keepLines/>
      <w:tabs>
        <w:tab w:val="clear" w:pos="720"/>
        <w:tab w:val="left" w:pos="0" w:leader="none"/>
      </w:tabs>
      <w:spacing w:before="120" w:after="120"/>
      <w:jc w:val="center"/>
    </w:pPr>
    <w:rPr>
      <w:rFonts w:ascii="Arial" w:hAnsi="Arial"/>
      <w:b/>
      <w:i/>
      <w:sz w:val="24"/>
    </w:rPr>
  </w:style>
  <w:style w:type="paragraph" w:styleId="Style19">
    <w:name w:val="Body Text Indent"/>
    <w:basedOn w:val="Normal"/>
    <w:pPr>
      <w:tabs>
        <w:tab w:val="clear" w:pos="720"/>
        <w:tab w:val="left" w:pos="1134" w:leader="none"/>
      </w:tabs>
      <w:ind w:firstLine="567"/>
      <w:jc w:val="both"/>
    </w:pPr>
    <w:rPr>
      <w:sz w:val="24"/>
      <w:lang w:val="ru-RU"/>
    </w:rPr>
  </w:style>
  <w:style w:type="paragraph" w:styleId="Style20" w:customStyle="1">
    <w:name w:val="Краткий обратный адрес"/>
    <w:basedOn w:val="Normal"/>
    <w:qFormat/>
    <w:pPr/>
    <w:rPr>
      <w:lang w:val="ru-RU"/>
    </w:rPr>
  </w:style>
  <w:style w:type="paragraph" w:styleId="BodyTextIndent2">
    <w:name w:val="Body Text Indent 2"/>
    <w:basedOn w:val="Normal"/>
    <w:link w:val="22"/>
    <w:qFormat/>
    <w:pPr>
      <w:tabs>
        <w:tab w:val="clear" w:pos="720"/>
        <w:tab w:val="left" w:pos="1134" w:leader="none"/>
      </w:tabs>
      <w:spacing w:lineRule="auto" w:line="360"/>
      <w:ind w:right="289" w:firstLine="567"/>
      <w:jc w:val="both"/>
    </w:pPr>
    <w:rPr>
      <w:sz w:val="24"/>
      <w:lang w:val="ru-RU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lang w:val="ru-RU"/>
    </w:rPr>
  </w:style>
  <w:style w:type="paragraph" w:styleId="BodyTextIndent3">
    <w:name w:val="Body Text Indent 3"/>
    <w:basedOn w:val="Normal"/>
    <w:qFormat/>
    <w:pPr>
      <w:ind w:firstLine="851"/>
      <w:jc w:val="both"/>
    </w:pPr>
    <w:rPr>
      <w:sz w:val="24"/>
      <w:lang w:val="ru-RU"/>
    </w:rPr>
  </w:style>
  <w:style w:type="paragraph" w:styleId="BalloonText">
    <w:name w:val="Balloon Text"/>
    <w:basedOn w:val="Normal"/>
    <w:semiHidden/>
    <w:qFormat/>
    <w:rsid w:val="00a15c99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e611a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dc1eb4"/>
    <w:pPr>
      <w:spacing w:beforeAutospacing="1" w:afterAutospacing="1"/>
    </w:pPr>
    <w:rPr>
      <w:sz w:val="24"/>
      <w:szCs w:val="24"/>
      <w:lang w:val="ru-RU" w:eastAsia="ru-RU"/>
    </w:rPr>
  </w:style>
  <w:style w:type="paragraph" w:styleId="Annotationtext">
    <w:name w:val="annotation text"/>
    <w:basedOn w:val="Normal"/>
    <w:link w:val="af4"/>
    <w:qFormat/>
    <w:rsid w:val="002863ab"/>
    <w:pPr/>
    <w:rPr/>
  </w:style>
  <w:style w:type="paragraph" w:styleId="Annotationsubject">
    <w:name w:val="annotation subject"/>
    <w:basedOn w:val="Annotationtext"/>
    <w:next w:val="Annotationtext"/>
    <w:link w:val="af6"/>
    <w:qFormat/>
    <w:rsid w:val="002863ab"/>
    <w:pPr/>
    <w:rPr>
      <w:b/>
      <w:bCs/>
    </w:rPr>
  </w:style>
  <w:style w:type="paragraph" w:styleId="Default" w:customStyle="1">
    <w:name w:val="Default"/>
    <w:qFormat/>
    <w:rsid w:val="00e555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8347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<Relationship Id="rId11" Type="http://schemas.openxmlformats.org/officeDocument/2006/relationships/customXml" Target="../customXml/item5.xml"/><Relationship Id="rId12" Type="http://schemas.openxmlformats.org/officeDocument/2006/relationships/customXml" Target="../customXml/item6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0323ab-bf23-49dd-abc6-775251541775">4TUDX7MFP5YU-35-119</_dlc_DocId>
    <_dlc_DocIdUrl xmlns="9c0323ab-bf23-49dd-abc6-775251541775">
      <Url>http://eis/mskdept/adm/_layouts/DocIdRedir.aspx?ID=4TUDX7MFP5YU-35-119</Url>
      <Description>4TUDX7MFP5YU-35-119</Description>
    </_dlc_DocIdUrl>
    <_x041e__x043f__x0438__x0441__x0430__x043d__x0438__x0435_ xmlns="e1aeec8c-8e99-498c-827f-030cf52c29a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6671CB7BE3F344924969689CE5DE8F" ma:contentTypeVersion="2" ma:contentTypeDescription="Создание документа." ma:contentTypeScope="" ma:versionID="7e3e4afae003eb6735694fed00c9b464">
  <xsd:schema xmlns:xsd="http://www.w3.org/2001/XMLSchema" xmlns:xs="http://www.w3.org/2001/XMLSchema" xmlns:p="http://schemas.microsoft.com/office/2006/metadata/properties" xmlns:ns1="http://schemas.microsoft.com/sharepoint/v3" xmlns:ns2="9c0323ab-bf23-49dd-abc6-775251541775" xmlns:ns3="e1aeec8c-8e99-498c-827f-030cf52c29a8" targetNamespace="http://schemas.microsoft.com/office/2006/metadata/properties" ma:root="true" ma:fieldsID="e2f411a21f94eeb04a223c3685aeeedc" ns1:_="" ns2:_="" ns3:_="">
    <xsd:import namespace="http://schemas.microsoft.com/sharepoint/v3"/>
    <xsd:import namespace="9c0323ab-bf23-49dd-abc6-775251541775"/>
    <xsd:import namespace="e1aeec8c-8e99-498c-827f-030cf52c29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23ab-bf23-49dd-abc6-77525154177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ec8c-8e99-498c-827f-030cf52c29a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35D4E-AA2E-442D-BA67-CFCAFCBC8A8F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e1aeec8c-8e99-498c-827f-030cf52c29a8"/>
    <ds:schemaRef ds:uri="9c0323ab-bf23-49dd-abc6-775251541775"/>
  </ds:schemaRefs>
</ds:datastoreItem>
</file>

<file path=customXml/itemProps2.xml><?xml version="1.0" encoding="utf-8"?>
<ds:datastoreItem xmlns:ds="http://schemas.openxmlformats.org/officeDocument/2006/customXml" ds:itemID="{513703A1-6F85-42EA-86C4-D81E7A6475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9BFB6E-BF79-4D6E-8EB1-4DC1A2F19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AA889-368F-4FCC-9857-42E8CC2C4C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34EF4E-4F11-409F-977C-4C9D51602A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1978D5-5307-410C-8318-3A0E4A9B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0323ab-bf23-49dd-abc6-775251541775"/>
    <ds:schemaRef ds:uri="e1aeec8c-8e99-498c-827f-030cf52c2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3</Pages>
  <Words>468</Words>
  <Characters>3521</Characters>
  <CharactersWithSpaces>3982</CharactersWithSpaces>
  <Paragraphs>7</Paragraphs>
  <Company>ГУ ЦБ РФ по Пермской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2024-01-22T07:42:00Z</dcterms:created>
  <dc:creator>ТАД</dc:creator>
  <dc:description>s 11.11.96</dc:description>
  <dc:language>ru-RU</dc:language>
  <cp:lastModifiedBy/>
  <cp:lastPrinted>2024-01-23T11:04:37Z</cp:lastPrinted>
  <dcterms:modified xsi:type="dcterms:W3CDTF">2024-01-23T11:07:34Z</dcterms:modified>
  <cp:revision>5</cp:revision>
  <dc:subject/>
  <dc:title>ЭД ЦФО Бланк письма ВД САДД (Личные кабинеты)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ГУ ЦБ РФ по Пермской области</vt:lpwstr>
  </property>
  <property fmtid="{D5CDD505-2E9C-101B-9397-08002B2CF9AE}" pid="4" name="ContentType">
    <vt:lpwstr>Документ</vt:lpwstr>
  </property>
  <property fmtid="{D5CDD505-2E9C-101B-9397-08002B2CF9AE}" pid="5" name="ContentTypeId">
    <vt:lpwstr>0x010100B76671CB7BE3F344924969689CE5DE8F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">
    <vt:lpwstr>4TUDX7MFP5YU-35-96</vt:lpwstr>
  </property>
  <property fmtid="{D5CDD505-2E9C-101B-9397-08002B2CF9AE}" pid="12" name="_dlc_DocIdItemGuid">
    <vt:lpwstr>e9aa6354-843d-48d0-985e-9424a4b51da0</vt:lpwstr>
  </property>
  <property fmtid="{D5CDD505-2E9C-101B-9397-08002B2CF9AE}" pid="13" name="_dlc_DocIdUrl">
    <vt:lpwstr>http://eis/mskdept/adm/_layouts/DocIdRedir.aspx?ID=4TUDX7MFP5YU-35-96, 4TUDX7MFP5YU-35-96</vt:lpwstr>
  </property>
</Properties>
</file>